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26E9" w14:textId="456A3921" w:rsidR="00385D54" w:rsidRDefault="00793EE0" w:rsidP="00225E82">
      <w:pPr>
        <w:spacing w:after="0"/>
      </w:pPr>
      <w:proofErr w:type="spellStart"/>
      <w:r>
        <w:t>HoLISTIC</w:t>
      </w:r>
      <w:proofErr w:type="spellEnd"/>
      <w:r>
        <w:t xml:space="preserve"> Modeling Meeting</w:t>
      </w:r>
    </w:p>
    <w:p w14:paraId="171E8C38" w14:textId="21C91B06" w:rsidR="00793EE0" w:rsidRDefault="00793EE0" w:rsidP="00225E82">
      <w:pPr>
        <w:spacing w:after="0"/>
      </w:pPr>
      <w:r>
        <w:t>5.25.23</w:t>
      </w:r>
    </w:p>
    <w:p w14:paraId="3B1E8474" w14:textId="183C0796" w:rsidR="00793EE0" w:rsidRDefault="00793EE0" w:rsidP="00225E82">
      <w:pPr>
        <w:spacing w:after="0"/>
      </w:pPr>
      <w:r>
        <w:t>Susan, Angie, Nick, Andy, John</w:t>
      </w:r>
    </w:p>
    <w:p w14:paraId="285EF0DB" w14:textId="5D4AD746" w:rsidR="00793EE0" w:rsidRDefault="00793EE0"/>
    <w:p w14:paraId="6493C0B8" w14:textId="4AE118F6" w:rsidR="00793EE0" w:rsidRPr="00793EE0" w:rsidRDefault="00793EE0" w:rsidP="00793EE0">
      <w:pPr>
        <w:pStyle w:val="NoSpacing"/>
        <w:numPr>
          <w:ilvl w:val="0"/>
          <w:numId w:val="1"/>
        </w:numPr>
      </w:pPr>
      <w:r>
        <w:t xml:space="preserve">Eligibility criteria unless otherwise specified: </w:t>
      </w:r>
      <w:r w:rsidRPr="00793EE0">
        <w:rPr>
          <w:sz w:val="20"/>
        </w:rPr>
        <w:t>A</w:t>
      </w:r>
      <w:r w:rsidRPr="00793EE0">
        <w:rPr>
          <w:rFonts w:cstheme="minorHAnsi"/>
        </w:rPr>
        <w:t xml:space="preserve">ge 18-65y; </w:t>
      </w:r>
      <w:proofErr w:type="spellStart"/>
      <w:r w:rsidRPr="00793EE0">
        <w:rPr>
          <w:rFonts w:cstheme="minorHAnsi"/>
        </w:rPr>
        <w:t>cHL</w:t>
      </w:r>
      <w:proofErr w:type="spellEnd"/>
      <w:r w:rsidRPr="00793EE0">
        <w:rPr>
          <w:rFonts w:cstheme="minorHAnsi"/>
        </w:rPr>
        <w:t xml:space="preserve">; </w:t>
      </w:r>
      <w:proofErr w:type="gramStart"/>
      <w:r w:rsidRPr="00793EE0">
        <w:rPr>
          <w:rFonts w:cstheme="minorHAnsi"/>
        </w:rPr>
        <w:t>early stage</w:t>
      </w:r>
      <w:proofErr w:type="gramEnd"/>
      <w:r w:rsidRPr="00793EE0">
        <w:rPr>
          <w:rFonts w:cstheme="minorHAnsi"/>
        </w:rPr>
        <w:t xml:space="preserve"> disease; </w:t>
      </w:r>
      <w:r w:rsidRPr="00D64209">
        <w:t xml:space="preserve">no out of range lab values (albumin 1-6; ESR &gt;=1; hemoglobin 5-16.5; lymphocyte count 0.1-5; WBC count 0.1-50); </w:t>
      </w:r>
      <w:r w:rsidRPr="00793EE0">
        <w:rPr>
          <w:rFonts w:cstheme="minorHAnsi"/>
        </w:rPr>
        <w:t xml:space="preserve">no above &amp; below diaphragm disease; no </w:t>
      </w:r>
      <w:proofErr w:type="spellStart"/>
      <w:r w:rsidRPr="00793EE0">
        <w:rPr>
          <w:rFonts w:cstheme="minorHAnsi"/>
        </w:rPr>
        <w:t>Waldeyer’s</w:t>
      </w:r>
      <w:proofErr w:type="spellEnd"/>
      <w:r w:rsidRPr="00793EE0">
        <w:rPr>
          <w:rFonts w:cstheme="minorHAnsi"/>
        </w:rPr>
        <w:t xml:space="preserve"> ring only; no count of 0 nodal groups (looking above &amp; below diaphragm); missing &lt;50% of candidate predictors. Registries further restricted </w:t>
      </w:r>
      <w:proofErr w:type="gramStart"/>
      <w:r w:rsidRPr="00793EE0">
        <w:rPr>
          <w:rFonts w:cstheme="minorHAnsi"/>
        </w:rPr>
        <w:t>to:</w:t>
      </w:r>
      <w:proofErr w:type="gramEnd"/>
      <w:r w:rsidRPr="00793EE0">
        <w:rPr>
          <w:rFonts w:cstheme="minorHAnsi"/>
        </w:rPr>
        <w:t xml:space="preserve"> treated with curative intent; not treated on a trial; diagnosed 1996 to 2019</w:t>
      </w:r>
    </w:p>
    <w:p w14:paraId="38878516" w14:textId="201FAD7E" w:rsidR="00793EE0" w:rsidRPr="00793EE0" w:rsidRDefault="00793EE0" w:rsidP="00793EE0">
      <w:pPr>
        <w:pStyle w:val="NoSpacing"/>
        <w:numPr>
          <w:ilvl w:val="0"/>
          <w:numId w:val="1"/>
        </w:numPr>
      </w:pPr>
      <w:r>
        <w:rPr>
          <w:rFonts w:cstheme="minorHAnsi"/>
        </w:rPr>
        <w:t>Angie shared Table 1. Nodal Locations by Study Type</w:t>
      </w:r>
    </w:p>
    <w:p w14:paraId="7A4F84CD" w14:textId="43514CDE" w:rsidR="00793EE0" w:rsidRPr="00793EE0" w:rsidRDefault="00793EE0" w:rsidP="00793EE0">
      <w:pPr>
        <w:pStyle w:val="NoSpacing"/>
        <w:numPr>
          <w:ilvl w:val="1"/>
          <w:numId w:val="1"/>
        </w:numPr>
      </w:pPr>
      <w:r>
        <w:rPr>
          <w:rFonts w:cstheme="minorHAnsi"/>
        </w:rPr>
        <w:t>Small difference between registry and trials</w:t>
      </w:r>
    </w:p>
    <w:p w14:paraId="20FEB3BF" w14:textId="10B410D7" w:rsidR="00793EE0" w:rsidRPr="00793EE0" w:rsidRDefault="00793EE0" w:rsidP="00793EE0">
      <w:pPr>
        <w:pStyle w:val="NoSpacing"/>
        <w:numPr>
          <w:ilvl w:val="1"/>
          <w:numId w:val="1"/>
        </w:numPr>
      </w:pPr>
      <w:r>
        <w:rPr>
          <w:rFonts w:cstheme="minorHAnsi"/>
        </w:rPr>
        <w:t>New version of combining nodal locations (mutually exclusive)</w:t>
      </w:r>
    </w:p>
    <w:p w14:paraId="66F6BBCE" w14:textId="2BD42250" w:rsidR="00793EE0" w:rsidRPr="00793EE0" w:rsidRDefault="00793EE0" w:rsidP="00793EE0">
      <w:pPr>
        <w:pStyle w:val="NoSpacing"/>
        <w:numPr>
          <w:ilvl w:val="2"/>
          <w:numId w:val="1"/>
        </w:numPr>
      </w:pPr>
      <w:r>
        <w:rPr>
          <w:rFonts w:cstheme="minorHAnsi"/>
        </w:rPr>
        <w:t>Will want to collapse these</w:t>
      </w:r>
    </w:p>
    <w:p w14:paraId="71BC14A6" w14:textId="043526F1" w:rsidR="00793EE0" w:rsidRPr="00793EE0" w:rsidRDefault="00793EE0" w:rsidP="00793EE0">
      <w:pPr>
        <w:pStyle w:val="NoSpacing"/>
        <w:numPr>
          <w:ilvl w:val="1"/>
          <w:numId w:val="1"/>
        </w:numPr>
      </w:pPr>
      <w:r>
        <w:rPr>
          <w:rFonts w:cstheme="minorHAnsi"/>
        </w:rPr>
        <w:t xml:space="preserve">John: most common combinations </w:t>
      </w:r>
      <w:proofErr w:type="spellStart"/>
      <w:r w:rsidRPr="00B87B06">
        <w:rPr>
          <w:rFonts w:ascii="Calibri" w:eastAsia="Times New Roman" w:hAnsi="Calibri" w:cs="Calibri"/>
          <w:color w:val="000000"/>
        </w:rPr>
        <w:t>Cerv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 w:rsidRPr="00B87B06">
        <w:rPr>
          <w:rFonts w:ascii="Calibri" w:eastAsia="Times New Roman" w:hAnsi="Calibri" w:cs="Calibri"/>
          <w:color w:val="000000"/>
        </w:rPr>
        <w:t>Supralav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 w:rsidRPr="00B87B06">
        <w:rPr>
          <w:rFonts w:ascii="Calibri" w:eastAsia="Times New Roman" w:hAnsi="Calibri" w:cs="Calibri"/>
          <w:color w:val="000000"/>
        </w:rPr>
        <w:t>Occip</w:t>
      </w:r>
      <w:proofErr w:type="spellEnd"/>
      <w:r>
        <w:rPr>
          <w:rFonts w:ascii="Calibri" w:eastAsia="Times New Roman" w:hAnsi="Calibri" w:cs="Calibri"/>
          <w:color w:val="000000"/>
        </w:rPr>
        <w:t xml:space="preserve"> AND</w:t>
      </w:r>
      <w:r w:rsidRPr="00B87B06">
        <w:rPr>
          <w:rFonts w:ascii="Calibri" w:eastAsia="Times New Roman" w:hAnsi="Calibri" w:cs="Calibri"/>
          <w:color w:val="000000"/>
        </w:rPr>
        <w:t xml:space="preserve"> Mediastinum</w:t>
      </w:r>
      <w:r>
        <w:rPr>
          <w:rFonts w:ascii="Calibri" w:eastAsia="Times New Roman" w:hAnsi="Calibri" w:cs="Calibri"/>
          <w:color w:val="000000"/>
        </w:rPr>
        <w:t>/Hilum</w:t>
      </w:r>
      <w:r>
        <w:rPr>
          <w:rFonts w:ascii="Calibri" w:eastAsia="Times New Roman" w:hAnsi="Calibri" w:cs="Calibri"/>
          <w:color w:val="000000"/>
        </w:rPr>
        <w:t xml:space="preserve"> + </w:t>
      </w:r>
      <w:proofErr w:type="spellStart"/>
      <w:r w:rsidRPr="00B87B06">
        <w:rPr>
          <w:rFonts w:ascii="Calibri" w:eastAsia="Times New Roman" w:hAnsi="Calibri" w:cs="Calibri"/>
          <w:color w:val="000000"/>
        </w:rPr>
        <w:t>Cerv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 w:rsidRPr="00B87B06">
        <w:rPr>
          <w:rFonts w:ascii="Calibri" w:eastAsia="Times New Roman" w:hAnsi="Calibri" w:cs="Calibri"/>
          <w:color w:val="000000"/>
        </w:rPr>
        <w:t>Supralav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 w:rsidRPr="00B87B06">
        <w:rPr>
          <w:rFonts w:ascii="Calibri" w:eastAsia="Times New Roman" w:hAnsi="Calibri" w:cs="Calibri"/>
          <w:color w:val="000000"/>
        </w:rPr>
        <w:t>Occip</w:t>
      </w:r>
      <w:proofErr w:type="spellEnd"/>
      <w:r>
        <w:rPr>
          <w:rFonts w:ascii="Calibri" w:eastAsia="Times New Roman" w:hAnsi="Calibri" w:cs="Calibri"/>
          <w:color w:val="000000"/>
        </w:rPr>
        <w:t xml:space="preserve"> ONLY</w:t>
      </w:r>
      <w:r>
        <w:rPr>
          <w:rFonts w:ascii="Calibri" w:eastAsia="Times New Roman" w:hAnsi="Calibri" w:cs="Calibri"/>
          <w:color w:val="000000"/>
        </w:rPr>
        <w:t xml:space="preserve"> matches data</w:t>
      </w:r>
    </w:p>
    <w:p w14:paraId="062390CB" w14:textId="175CC370" w:rsidR="00793EE0" w:rsidRPr="00793EE0" w:rsidRDefault="00793EE0" w:rsidP="00793EE0">
      <w:pPr>
        <w:pStyle w:val="NoSpacing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Angie shared Table 2.</w:t>
      </w:r>
      <w:r w:rsidRPr="00793EE0">
        <w:rPr>
          <w:bCs/>
        </w:rPr>
        <w:t xml:space="preserve"> </w:t>
      </w:r>
      <w:r w:rsidRPr="00CD6708">
        <w:rPr>
          <w:bCs/>
        </w:rPr>
        <w:t xml:space="preserve">Univariate results for </w:t>
      </w:r>
      <w:r>
        <w:rPr>
          <w:bCs/>
        </w:rPr>
        <w:t>nodal locations</w:t>
      </w:r>
      <w:r w:rsidRPr="00CD6708">
        <w:rPr>
          <w:bCs/>
        </w:rPr>
        <w:t xml:space="preserve"> for 5y PFS for</w:t>
      </w:r>
      <w:r>
        <w:t xml:space="preserve"> development cohort</w:t>
      </w:r>
    </w:p>
    <w:p w14:paraId="57FEE01B" w14:textId="66EC4FF6" w:rsidR="00793EE0" w:rsidRPr="00793EE0" w:rsidRDefault="00793EE0" w:rsidP="00793EE0">
      <w:pPr>
        <w:pStyle w:val="NoSpacing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</w:rPr>
        <w:t>Cervical group was protective, others had increased risk</w:t>
      </w:r>
    </w:p>
    <w:p w14:paraId="12C482B6" w14:textId="7D3C8860" w:rsidR="00793EE0" w:rsidRPr="002F3BF2" w:rsidRDefault="00793EE0" w:rsidP="00793EE0">
      <w:pPr>
        <w:pStyle w:val="NoSpacing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Reference is now cervical </w:t>
      </w:r>
    </w:p>
    <w:p w14:paraId="77C8CB7B" w14:textId="69B955C6" w:rsidR="001D5F22" w:rsidRPr="001D5F22" w:rsidRDefault="001D5F22" w:rsidP="001D5F22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>Andy: will need to think about collapse (by HR or clinical)</w:t>
      </w:r>
    </w:p>
    <w:p w14:paraId="1648C0E4" w14:textId="6C3AF68C" w:rsidR="002F3BF2" w:rsidRPr="001D5F22" w:rsidRDefault="008450CA" w:rsidP="002F3BF2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Option 1. </w:t>
      </w:r>
      <w:r w:rsidR="002F3BF2">
        <w:rPr>
          <w:rFonts w:ascii="Calibri" w:eastAsia="Times New Roman" w:hAnsi="Calibri" w:cs="Calibri"/>
          <w:color w:val="000000"/>
        </w:rPr>
        <w:t xml:space="preserve">Categories: 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Cerv</w:t>
      </w:r>
      <w:proofErr w:type="spellEnd"/>
      <w:r w:rsidR="002F3BF2">
        <w:rPr>
          <w:rFonts w:ascii="Calibri" w:eastAsia="Times New Roman" w:hAnsi="Calibri" w:cs="Calibri"/>
          <w:color w:val="000000"/>
        </w:rPr>
        <w:t>/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Supralav</w:t>
      </w:r>
      <w:proofErr w:type="spellEnd"/>
      <w:r w:rsidR="002F3BF2">
        <w:rPr>
          <w:rFonts w:ascii="Calibri" w:eastAsia="Times New Roman" w:hAnsi="Calibri" w:cs="Calibri"/>
          <w:color w:val="000000"/>
        </w:rPr>
        <w:t>/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Occip</w:t>
      </w:r>
      <w:proofErr w:type="spellEnd"/>
      <w:r w:rsidR="002F3BF2">
        <w:rPr>
          <w:rFonts w:ascii="Calibri" w:eastAsia="Times New Roman" w:hAnsi="Calibri" w:cs="Calibri"/>
          <w:color w:val="000000"/>
        </w:rPr>
        <w:t xml:space="preserve"> </w:t>
      </w:r>
      <w:r w:rsidR="002F3BF2">
        <w:rPr>
          <w:rFonts w:ascii="Calibri" w:eastAsia="Times New Roman" w:hAnsi="Calibri" w:cs="Calibri"/>
          <w:color w:val="000000"/>
        </w:rPr>
        <w:t xml:space="preserve">ONLY, 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Cerv</w:t>
      </w:r>
      <w:proofErr w:type="spellEnd"/>
      <w:r w:rsidR="002F3BF2">
        <w:rPr>
          <w:rFonts w:ascii="Calibri" w:eastAsia="Times New Roman" w:hAnsi="Calibri" w:cs="Calibri"/>
          <w:color w:val="000000"/>
        </w:rPr>
        <w:t>/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Supralav</w:t>
      </w:r>
      <w:proofErr w:type="spellEnd"/>
      <w:r w:rsidR="002F3BF2">
        <w:rPr>
          <w:rFonts w:ascii="Calibri" w:eastAsia="Times New Roman" w:hAnsi="Calibri" w:cs="Calibri"/>
          <w:color w:val="000000"/>
        </w:rPr>
        <w:t>/</w:t>
      </w:r>
      <w:proofErr w:type="spellStart"/>
      <w:r w:rsidR="002F3BF2" w:rsidRPr="00B87B06">
        <w:rPr>
          <w:rFonts w:ascii="Calibri" w:eastAsia="Times New Roman" w:hAnsi="Calibri" w:cs="Calibri"/>
          <w:color w:val="000000"/>
        </w:rPr>
        <w:t>Occip</w:t>
      </w:r>
      <w:proofErr w:type="spellEnd"/>
      <w:r w:rsidR="002F3BF2">
        <w:rPr>
          <w:rFonts w:ascii="Calibri" w:eastAsia="Times New Roman" w:hAnsi="Calibri" w:cs="Calibri"/>
          <w:color w:val="000000"/>
        </w:rPr>
        <w:t xml:space="preserve"> AND</w:t>
      </w:r>
      <w:r w:rsidR="002F3BF2" w:rsidRPr="00B87B06">
        <w:rPr>
          <w:rFonts w:ascii="Calibri" w:eastAsia="Times New Roman" w:hAnsi="Calibri" w:cs="Calibri"/>
          <w:color w:val="000000"/>
        </w:rPr>
        <w:t xml:space="preserve"> Mediastinum</w:t>
      </w:r>
      <w:r w:rsidR="002F3BF2">
        <w:rPr>
          <w:rFonts w:ascii="Calibri" w:eastAsia="Times New Roman" w:hAnsi="Calibri" w:cs="Calibri"/>
          <w:color w:val="000000"/>
        </w:rPr>
        <w:t>/Hilum</w:t>
      </w:r>
      <w:r w:rsidR="002F3BF2">
        <w:rPr>
          <w:rFonts w:ascii="Calibri" w:eastAsia="Times New Roman" w:hAnsi="Calibri" w:cs="Calibri"/>
          <w:color w:val="000000"/>
        </w:rPr>
        <w:t xml:space="preserve">, </w:t>
      </w:r>
      <w:r w:rsidR="001D5F22" w:rsidRPr="00B87B06">
        <w:rPr>
          <w:rFonts w:ascii="Calibri" w:eastAsia="Times New Roman" w:hAnsi="Calibri" w:cs="Calibri"/>
          <w:color w:val="000000"/>
        </w:rPr>
        <w:t>Mediastinum</w:t>
      </w:r>
      <w:r w:rsidR="001D5F22">
        <w:rPr>
          <w:rFonts w:ascii="Calibri" w:eastAsia="Times New Roman" w:hAnsi="Calibri" w:cs="Calibri"/>
          <w:color w:val="000000"/>
        </w:rPr>
        <w:t>/Hilum</w:t>
      </w:r>
      <w:r w:rsidR="001D5F22">
        <w:rPr>
          <w:rFonts w:ascii="Calibri" w:eastAsia="Times New Roman" w:hAnsi="Calibri" w:cs="Calibri"/>
          <w:color w:val="000000"/>
        </w:rPr>
        <w:t xml:space="preserve"> ONLY, all 3, </w:t>
      </w:r>
      <w:r w:rsidR="002F3BF2">
        <w:rPr>
          <w:rFonts w:ascii="Calibri" w:eastAsia="Times New Roman" w:hAnsi="Calibri" w:cs="Calibri"/>
          <w:color w:val="000000"/>
        </w:rPr>
        <w:t>merge the rest</w:t>
      </w:r>
    </w:p>
    <w:p w14:paraId="0DA4A274" w14:textId="78D25D2A" w:rsidR="001D5F22" w:rsidRPr="008450CA" w:rsidRDefault="008450CA" w:rsidP="008450CA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Option 2. </w:t>
      </w:r>
      <w:r w:rsidR="001D5F22">
        <w:rPr>
          <w:rFonts w:ascii="Calibri" w:eastAsia="Times New Roman" w:hAnsi="Calibri" w:cs="Calibri"/>
          <w:color w:val="000000"/>
        </w:rPr>
        <w:t>Angie will try collapsing all 3 with all else as well</w:t>
      </w:r>
    </w:p>
    <w:p w14:paraId="43F9E28C" w14:textId="77777777" w:rsidR="008450CA" w:rsidRPr="008450CA" w:rsidRDefault="008450CA" w:rsidP="008450CA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Option 3. </w:t>
      </w:r>
    </w:p>
    <w:p w14:paraId="55D3626E" w14:textId="135877D5" w:rsidR="008450CA" w:rsidRPr="008450CA" w:rsidRDefault="008450C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Media, media + </w:t>
      </w:r>
      <w:proofErr w:type="spellStart"/>
      <w:r>
        <w:rPr>
          <w:rFonts w:ascii="Calibri" w:eastAsia="Times New Roman" w:hAnsi="Calibri" w:cs="Calibri"/>
          <w:color w:val="000000"/>
        </w:rPr>
        <w:t>cerv</w:t>
      </w:r>
      <w:proofErr w:type="spellEnd"/>
    </w:p>
    <w:p w14:paraId="5AF21F42" w14:textId="6474E93A" w:rsidR="008450CA" w:rsidRPr="008450CA" w:rsidRDefault="008450C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>3 infra, all 3</w:t>
      </w:r>
    </w:p>
    <w:p w14:paraId="74244423" w14:textId="2D114E59" w:rsidR="008450CA" w:rsidRPr="008450CA" w:rsidRDefault="008450CA" w:rsidP="008450CA">
      <w:pPr>
        <w:pStyle w:val="NoSpacing"/>
        <w:numPr>
          <w:ilvl w:val="3"/>
          <w:numId w:val="1"/>
        </w:numPr>
      </w:pPr>
      <w:proofErr w:type="spellStart"/>
      <w:r>
        <w:rPr>
          <w:rFonts w:ascii="Calibri" w:eastAsia="Times New Roman" w:hAnsi="Calibri" w:cs="Calibri"/>
          <w:color w:val="000000"/>
        </w:rPr>
        <w:t>Cerv</w:t>
      </w:r>
      <w:proofErr w:type="spellEnd"/>
      <w:r>
        <w:rPr>
          <w:rFonts w:ascii="Calibri" w:eastAsia="Times New Roman" w:hAnsi="Calibri" w:cs="Calibri"/>
          <w:color w:val="000000"/>
        </w:rPr>
        <w:t xml:space="preserve"> only (ref)</w:t>
      </w:r>
    </w:p>
    <w:p w14:paraId="0BF77EFB" w14:textId="2DFFDCEB" w:rsidR="008450CA" w:rsidRPr="008450CA" w:rsidRDefault="008450CA" w:rsidP="008450CA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>Option 4. (</w:t>
      </w:r>
      <w:proofErr w:type="gramStart"/>
      <w:r>
        <w:rPr>
          <w:rFonts w:ascii="Calibri" w:eastAsia="Times New Roman" w:hAnsi="Calibri" w:cs="Calibri"/>
          <w:color w:val="000000"/>
        </w:rPr>
        <w:t>not</w:t>
      </w:r>
      <w:proofErr w:type="gramEnd"/>
      <w:r>
        <w:rPr>
          <w:rFonts w:ascii="Calibri" w:eastAsia="Times New Roman" w:hAnsi="Calibri" w:cs="Calibri"/>
          <w:color w:val="000000"/>
        </w:rPr>
        <w:t xml:space="preserve"> mutually exclusive)</w:t>
      </w:r>
    </w:p>
    <w:p w14:paraId="48DE5DE9" w14:textId="77777777" w:rsidR="008450CA" w:rsidRPr="008450CA" w:rsidRDefault="008450C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>Cervical only (ref)</w:t>
      </w:r>
    </w:p>
    <w:p w14:paraId="345209F4" w14:textId="43866C28" w:rsidR="008450CA" w:rsidRPr="008450CA" w:rsidRDefault="008450C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any infra, excluding </w:t>
      </w:r>
      <w:proofErr w:type="spellStart"/>
      <w:r>
        <w:rPr>
          <w:rFonts w:ascii="Calibri" w:eastAsia="Times New Roman" w:hAnsi="Calibri" w:cs="Calibri"/>
          <w:color w:val="000000"/>
        </w:rPr>
        <w:t>cerv</w:t>
      </w:r>
      <w:proofErr w:type="spellEnd"/>
    </w:p>
    <w:p w14:paraId="34F1B53D" w14:textId="36354C34" w:rsidR="008450CA" w:rsidRPr="005C3D7A" w:rsidRDefault="008450C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any mediastinum, excluding </w:t>
      </w:r>
      <w:proofErr w:type="spellStart"/>
      <w:r>
        <w:rPr>
          <w:rFonts w:ascii="Calibri" w:eastAsia="Times New Roman" w:hAnsi="Calibri" w:cs="Calibri"/>
          <w:color w:val="000000"/>
        </w:rPr>
        <w:t>cerv</w:t>
      </w:r>
      <w:proofErr w:type="spellEnd"/>
    </w:p>
    <w:p w14:paraId="35B93079" w14:textId="7193D474" w:rsidR="005C3D7A" w:rsidRPr="005C3D7A" w:rsidRDefault="005C3D7A" w:rsidP="008450CA">
      <w:pPr>
        <w:pStyle w:val="NoSpacing"/>
        <w:numPr>
          <w:ilvl w:val="3"/>
          <w:numId w:val="1"/>
        </w:numPr>
      </w:pPr>
      <w:r>
        <w:rPr>
          <w:rFonts w:ascii="Calibri" w:eastAsia="Times New Roman" w:hAnsi="Calibri" w:cs="Calibri"/>
          <w:color w:val="000000"/>
        </w:rPr>
        <w:t>interactions</w:t>
      </w:r>
    </w:p>
    <w:p w14:paraId="5500E6F5" w14:textId="6E6DBD7F" w:rsidR="005C3D7A" w:rsidRPr="00225E82" w:rsidRDefault="005C3D7A" w:rsidP="005C3D7A">
      <w:pPr>
        <w:pStyle w:val="NoSpacing"/>
        <w:numPr>
          <w:ilvl w:val="2"/>
          <w:numId w:val="1"/>
        </w:numPr>
      </w:pPr>
      <w:r>
        <w:rPr>
          <w:rFonts w:ascii="Calibri" w:eastAsia="Times New Roman" w:hAnsi="Calibri" w:cs="Calibri"/>
          <w:color w:val="000000"/>
        </w:rPr>
        <w:t xml:space="preserve">option 5. May end up with just </w:t>
      </w:r>
      <w:proofErr w:type="spellStart"/>
      <w:r>
        <w:rPr>
          <w:rFonts w:ascii="Calibri" w:eastAsia="Times New Roman" w:hAnsi="Calibri" w:cs="Calibri"/>
          <w:color w:val="000000"/>
        </w:rPr>
        <w:t>cerv</w:t>
      </w:r>
      <w:proofErr w:type="spellEnd"/>
      <w:r>
        <w:rPr>
          <w:rFonts w:ascii="Calibri" w:eastAsia="Times New Roman" w:hAnsi="Calibri" w:cs="Calibri"/>
          <w:color w:val="000000"/>
        </w:rPr>
        <w:t xml:space="preserve"> vs all else</w:t>
      </w:r>
    </w:p>
    <w:p w14:paraId="19E78152" w14:textId="77777777" w:rsidR="00693728" w:rsidRPr="00693728" w:rsidRDefault="00693728" w:rsidP="00693728">
      <w:pPr>
        <w:pStyle w:val="NoSpacing"/>
        <w:ind w:left="720"/>
      </w:pPr>
    </w:p>
    <w:p w14:paraId="1B338591" w14:textId="77E4A6FF" w:rsidR="00225E82" w:rsidRPr="00225E82" w:rsidRDefault="00225E82" w:rsidP="005C3D7A">
      <w:pPr>
        <w:pStyle w:val="NoSpacing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Andy: Nervous to use PMH as validation even for ASH, what about 2/3 1/3 split?</w:t>
      </w:r>
      <w:r w:rsidR="002F3BF2">
        <w:rPr>
          <w:rFonts w:ascii="Calibri" w:eastAsia="Times New Roman" w:hAnsi="Calibri" w:cs="Calibri"/>
          <w:color w:val="000000"/>
        </w:rPr>
        <w:t xml:space="preserve"> Might not be worth it if the registries are missing critical pieces</w:t>
      </w:r>
    </w:p>
    <w:p w14:paraId="3B1C8F06" w14:textId="1EF7B054" w:rsidR="00225E82" w:rsidRPr="00225E82" w:rsidRDefault="00225E82" w:rsidP="005C3D7A">
      <w:pPr>
        <w:pStyle w:val="NoSpacing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</w:rPr>
        <w:t>Trials had clinical restrictions/different distributions of certain variables, so use of PMH leaves us with some unevenness</w:t>
      </w:r>
    </w:p>
    <w:p w14:paraId="1F345438" w14:textId="6934804B" w:rsidR="00225E82" w:rsidRDefault="002F3BF2" w:rsidP="005C3D7A">
      <w:pPr>
        <w:pStyle w:val="NoSpacing"/>
        <w:numPr>
          <w:ilvl w:val="0"/>
          <w:numId w:val="1"/>
        </w:numPr>
      </w:pPr>
      <w:r>
        <w:t>Angie: Could do development with 4 trials + PMH and validate with other registries as they come in</w:t>
      </w:r>
    </w:p>
    <w:p w14:paraId="1E2ABD3A" w14:textId="67DB7C1C" w:rsidR="002F3BF2" w:rsidRDefault="002F3BF2" w:rsidP="005C3D7A">
      <w:pPr>
        <w:pStyle w:val="NoSpacing"/>
        <w:numPr>
          <w:ilvl w:val="0"/>
          <w:numId w:val="1"/>
        </w:numPr>
      </w:pPr>
      <w:r>
        <w:t xml:space="preserve">John: leave out nodal locations </w:t>
      </w:r>
      <w:proofErr w:type="gramStart"/>
      <w:r>
        <w:t>at this time</w:t>
      </w:r>
      <w:proofErr w:type="gramEnd"/>
      <w:r>
        <w:t>?</w:t>
      </w:r>
    </w:p>
    <w:p w14:paraId="6A3525F2" w14:textId="65EF7D78" w:rsidR="002F3BF2" w:rsidRDefault="002F3BF2" w:rsidP="005C3D7A">
      <w:pPr>
        <w:pStyle w:val="NoSpacing"/>
        <w:numPr>
          <w:ilvl w:val="0"/>
          <w:numId w:val="1"/>
        </w:numPr>
      </w:pPr>
      <w:r>
        <w:t>Susan: development cohort in the trials, see if Ranjana and Rich will run the model in their institution</w:t>
      </w:r>
    </w:p>
    <w:p w14:paraId="71C49468" w14:textId="47B9233E" w:rsidR="002F3BF2" w:rsidRDefault="002F3BF2" w:rsidP="005C3D7A">
      <w:pPr>
        <w:pStyle w:val="NoSpacing"/>
        <w:numPr>
          <w:ilvl w:val="1"/>
          <w:numId w:val="1"/>
        </w:numPr>
      </w:pPr>
      <w:r>
        <w:t>Andy: not sure about their numbers to use for validation</w:t>
      </w:r>
    </w:p>
    <w:p w14:paraId="2489E4E1" w14:textId="40AA898A" w:rsidR="00693728" w:rsidRPr="00693728" w:rsidRDefault="00693728" w:rsidP="00693728">
      <w:pPr>
        <w:pStyle w:val="NoSpacing"/>
        <w:numPr>
          <w:ilvl w:val="0"/>
          <w:numId w:val="1"/>
        </w:numPr>
        <w:rPr>
          <w:highlight w:val="lightGray"/>
        </w:rPr>
      </w:pPr>
      <w:r w:rsidRPr="00693728">
        <w:rPr>
          <w:highlight w:val="lightGray"/>
        </w:rPr>
        <w:t>Decision to keep development/validation as it</w:t>
      </w:r>
      <w:r w:rsidR="003F4EF6">
        <w:rPr>
          <w:highlight w:val="lightGray"/>
        </w:rPr>
        <w:t>: trials as development, PMH as validation</w:t>
      </w:r>
    </w:p>
    <w:p w14:paraId="46D5171E" w14:textId="77777777" w:rsidR="00693728" w:rsidRDefault="00693728" w:rsidP="00693728">
      <w:pPr>
        <w:pStyle w:val="NoSpacing"/>
        <w:ind w:left="720"/>
      </w:pPr>
    </w:p>
    <w:p w14:paraId="4969F455" w14:textId="42F18701" w:rsidR="003F11FC" w:rsidRDefault="003F11FC" w:rsidP="003F11FC">
      <w:pPr>
        <w:pStyle w:val="NoSpacing"/>
        <w:numPr>
          <w:ilvl w:val="0"/>
          <w:numId w:val="1"/>
        </w:numPr>
      </w:pPr>
      <w:r>
        <w:t xml:space="preserve">Angie shared Table 3. </w:t>
      </w:r>
      <w:r>
        <w:t>Distribution of histology</w:t>
      </w:r>
    </w:p>
    <w:p w14:paraId="3D09CBA7" w14:textId="435B22C0" w:rsidR="003F11FC" w:rsidRDefault="003F11FC" w:rsidP="003F11FC">
      <w:pPr>
        <w:pStyle w:val="NoSpacing"/>
        <w:numPr>
          <w:ilvl w:val="1"/>
          <w:numId w:val="1"/>
        </w:numPr>
      </w:pPr>
      <w:r>
        <w:lastRenderedPageBreak/>
        <w:t>Collapse histology?</w:t>
      </w:r>
    </w:p>
    <w:p w14:paraId="1B3190D8" w14:textId="7E8BACCE" w:rsidR="00793EE0" w:rsidRDefault="003F11FC" w:rsidP="00693728">
      <w:pPr>
        <w:pStyle w:val="NoSpacing"/>
        <w:numPr>
          <w:ilvl w:val="1"/>
          <w:numId w:val="1"/>
        </w:numPr>
      </w:pPr>
      <w:r>
        <w:t>Andy: leave as is and say “we looked at it and nothing came out”</w:t>
      </w:r>
    </w:p>
    <w:p w14:paraId="4F7146E2" w14:textId="73A6A37B" w:rsidR="00693728" w:rsidRDefault="003F4EF6" w:rsidP="00693728">
      <w:pPr>
        <w:pStyle w:val="NoSpacing"/>
        <w:numPr>
          <w:ilvl w:val="0"/>
          <w:numId w:val="1"/>
        </w:numPr>
      </w:pPr>
      <w:r>
        <w:t>Age relationship with 5y PFS for development cohort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F4EF6" w14:paraId="182FA915" w14:textId="77777777" w:rsidTr="008D0BB7">
        <w:tc>
          <w:tcPr>
            <w:tcW w:w="4675" w:type="dxa"/>
            <w:shd w:val="clear" w:color="auto" w:fill="D9D9D9" w:themeFill="background1" w:themeFillShade="D9"/>
          </w:tcPr>
          <w:p w14:paraId="101DD298" w14:textId="77777777" w:rsidR="003F4EF6" w:rsidRDefault="003F4EF6" w:rsidP="008D0BB7"/>
        </w:tc>
        <w:tc>
          <w:tcPr>
            <w:tcW w:w="4675" w:type="dxa"/>
            <w:shd w:val="clear" w:color="auto" w:fill="D9D9D9" w:themeFill="background1" w:themeFillShade="D9"/>
          </w:tcPr>
          <w:p w14:paraId="6324DC98" w14:textId="77777777" w:rsidR="003F4EF6" w:rsidRDefault="003F4EF6" w:rsidP="008D0BB7">
            <w:r>
              <w:t>Summary Statistics</w:t>
            </w:r>
          </w:p>
        </w:tc>
      </w:tr>
      <w:tr w:rsidR="003F4EF6" w14:paraId="3E28E0CE" w14:textId="77777777" w:rsidTr="008D0BB7">
        <w:tc>
          <w:tcPr>
            <w:tcW w:w="4675" w:type="dxa"/>
          </w:tcPr>
          <w:p w14:paraId="777659C0" w14:textId="77777777" w:rsidR="003F4EF6" w:rsidRDefault="003F4EF6" w:rsidP="008D0BB7">
            <w:r>
              <w:t>Age (years), mean (SD)</w:t>
            </w:r>
          </w:p>
        </w:tc>
        <w:tc>
          <w:tcPr>
            <w:tcW w:w="4675" w:type="dxa"/>
          </w:tcPr>
          <w:p w14:paraId="125E13C3" w14:textId="77777777" w:rsidR="003F4EF6" w:rsidRPr="00161935" w:rsidRDefault="003F4EF6" w:rsidP="008D0BB7">
            <w:pPr>
              <w:rPr>
                <w:rFonts w:cstheme="minorHAnsi"/>
              </w:rPr>
            </w:pPr>
            <w:r w:rsidRPr="00161935">
              <w:rPr>
                <w:rFonts w:cstheme="minorHAnsi"/>
                <w:color w:val="000000"/>
              </w:rPr>
              <w:t>34.6 (12.3)</w:t>
            </w:r>
          </w:p>
        </w:tc>
      </w:tr>
      <w:tr w:rsidR="003F4EF6" w14:paraId="3B7C08AE" w14:textId="77777777" w:rsidTr="008D0BB7">
        <w:tc>
          <w:tcPr>
            <w:tcW w:w="4675" w:type="dxa"/>
          </w:tcPr>
          <w:p w14:paraId="414504D2" w14:textId="77777777" w:rsidR="003F4EF6" w:rsidRDefault="003F4EF6" w:rsidP="008D0BB7">
            <w:r>
              <w:t>Age (years), median (Q1, Q3)</w:t>
            </w:r>
          </w:p>
        </w:tc>
        <w:tc>
          <w:tcPr>
            <w:tcW w:w="4675" w:type="dxa"/>
          </w:tcPr>
          <w:p w14:paraId="0FD6B8CB" w14:textId="77777777" w:rsidR="003F4EF6" w:rsidRPr="00161935" w:rsidRDefault="003F4EF6" w:rsidP="008D0B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theme="minorHAnsi"/>
                <w:color w:val="000000"/>
              </w:rPr>
            </w:pPr>
            <w:r w:rsidRPr="00EE31DB">
              <w:rPr>
                <w:rFonts w:eastAsia="Times New Roman" w:cstheme="minorHAnsi"/>
                <w:color w:val="000000"/>
                <w:bdr w:val="none" w:sz="0" w:space="0" w:color="auto" w:frame="1"/>
              </w:rPr>
              <w:t>31.4 (24.3, 43.2)</w:t>
            </w:r>
          </w:p>
        </w:tc>
      </w:tr>
      <w:tr w:rsidR="003F4EF6" w14:paraId="492D96F5" w14:textId="77777777" w:rsidTr="008D0BB7">
        <w:tc>
          <w:tcPr>
            <w:tcW w:w="4675" w:type="dxa"/>
          </w:tcPr>
          <w:p w14:paraId="2065D940" w14:textId="77777777" w:rsidR="003F4EF6" w:rsidRDefault="003F4EF6" w:rsidP="008D0BB7">
            <w:r>
              <w:t>Age binary, n (%)</w:t>
            </w:r>
          </w:p>
        </w:tc>
        <w:tc>
          <w:tcPr>
            <w:tcW w:w="4675" w:type="dxa"/>
          </w:tcPr>
          <w:p w14:paraId="7E4C1E26" w14:textId="77777777" w:rsidR="003F4EF6" w:rsidRPr="00161935" w:rsidRDefault="003F4EF6" w:rsidP="008D0BB7">
            <w:pPr>
              <w:rPr>
                <w:rFonts w:cstheme="minorHAnsi"/>
              </w:rPr>
            </w:pPr>
          </w:p>
        </w:tc>
      </w:tr>
      <w:tr w:rsidR="003F4EF6" w14:paraId="0492CAB2" w14:textId="77777777" w:rsidTr="008D0BB7">
        <w:tc>
          <w:tcPr>
            <w:tcW w:w="4675" w:type="dxa"/>
          </w:tcPr>
          <w:p w14:paraId="75051848" w14:textId="77777777" w:rsidR="003F4EF6" w:rsidRDefault="003F4EF6" w:rsidP="008D0BB7">
            <w:pPr>
              <w:ind w:left="251"/>
            </w:pPr>
            <w:r>
              <w:t>&lt;30y</w:t>
            </w:r>
          </w:p>
        </w:tc>
        <w:tc>
          <w:tcPr>
            <w:tcW w:w="4675" w:type="dxa"/>
          </w:tcPr>
          <w:p w14:paraId="5F8175D8" w14:textId="77777777" w:rsidR="003F4EF6" w:rsidRPr="00161935" w:rsidRDefault="003F4EF6" w:rsidP="008D0BB7">
            <w:pPr>
              <w:pStyle w:val="HTMLPreformatted"/>
              <w:shd w:val="clear" w:color="auto" w:fill="FFFFFF"/>
              <w:wordWrap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935">
              <w:rPr>
                <w:rStyle w:val="gnd-iwgdh3b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1417 (45.2%)</w:t>
            </w:r>
          </w:p>
        </w:tc>
      </w:tr>
      <w:tr w:rsidR="003F4EF6" w14:paraId="7B16412E" w14:textId="77777777" w:rsidTr="008D0BB7">
        <w:tc>
          <w:tcPr>
            <w:tcW w:w="4675" w:type="dxa"/>
          </w:tcPr>
          <w:p w14:paraId="0E76BF5F" w14:textId="77777777" w:rsidR="003F4EF6" w:rsidRDefault="003F4EF6" w:rsidP="008D0BB7">
            <w:pPr>
              <w:ind w:left="251"/>
            </w:pPr>
            <w:r>
              <w:rPr>
                <w:rFonts w:cstheme="minorHAnsi"/>
              </w:rPr>
              <w:t>≥</w:t>
            </w:r>
            <w:r>
              <w:t>30y</w:t>
            </w:r>
          </w:p>
        </w:tc>
        <w:tc>
          <w:tcPr>
            <w:tcW w:w="4675" w:type="dxa"/>
          </w:tcPr>
          <w:p w14:paraId="7C985588" w14:textId="77777777" w:rsidR="003F4EF6" w:rsidRPr="00161935" w:rsidRDefault="003F4EF6" w:rsidP="008D0BB7">
            <w:pPr>
              <w:pStyle w:val="HTMLPreformatted"/>
              <w:shd w:val="clear" w:color="auto" w:fill="FFFFFF"/>
              <w:wordWrap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935">
              <w:rPr>
                <w:rStyle w:val="gnd-iwgdh3b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1721 (54.8%)</w:t>
            </w:r>
          </w:p>
        </w:tc>
      </w:tr>
      <w:tr w:rsidR="003F4EF6" w14:paraId="199354AB" w14:textId="77777777" w:rsidTr="008D0BB7">
        <w:tc>
          <w:tcPr>
            <w:tcW w:w="4675" w:type="dxa"/>
            <w:shd w:val="clear" w:color="auto" w:fill="D9D9D9" w:themeFill="background1" w:themeFillShade="D9"/>
          </w:tcPr>
          <w:p w14:paraId="1FCF8ECE" w14:textId="77777777" w:rsidR="003F4EF6" w:rsidRDefault="003F4EF6" w:rsidP="008D0BB7"/>
        </w:tc>
        <w:tc>
          <w:tcPr>
            <w:tcW w:w="4675" w:type="dxa"/>
            <w:shd w:val="clear" w:color="auto" w:fill="D9D9D9" w:themeFill="background1" w:themeFillShade="D9"/>
          </w:tcPr>
          <w:p w14:paraId="78A62982" w14:textId="77777777" w:rsidR="003F4EF6" w:rsidRPr="00161935" w:rsidRDefault="003F4EF6" w:rsidP="008D0BB7">
            <w:pPr>
              <w:rPr>
                <w:rFonts w:cstheme="minorHAnsi"/>
              </w:rPr>
            </w:pPr>
            <w:r w:rsidRPr="00161935">
              <w:rPr>
                <w:rFonts w:cstheme="minorHAnsi"/>
              </w:rPr>
              <w:t>HR (95% CI), p-value for 5y PFS</w:t>
            </w:r>
          </w:p>
        </w:tc>
      </w:tr>
      <w:tr w:rsidR="003F4EF6" w14:paraId="72CDB1B1" w14:textId="77777777" w:rsidTr="008D0BB7">
        <w:tc>
          <w:tcPr>
            <w:tcW w:w="4675" w:type="dxa"/>
          </w:tcPr>
          <w:p w14:paraId="4423E216" w14:textId="77777777" w:rsidR="003F4EF6" w:rsidRPr="003F4EF6" w:rsidRDefault="003F4EF6" w:rsidP="008D0BB7">
            <w:pPr>
              <w:rPr>
                <w:highlight w:val="yellow"/>
              </w:rPr>
            </w:pPr>
            <w:r w:rsidRPr="003F4EF6">
              <w:rPr>
                <w:highlight w:val="yellow"/>
              </w:rPr>
              <w:t>Age (continuous)</w:t>
            </w:r>
          </w:p>
        </w:tc>
        <w:tc>
          <w:tcPr>
            <w:tcW w:w="4675" w:type="dxa"/>
          </w:tcPr>
          <w:p w14:paraId="2FA54826" w14:textId="77777777" w:rsidR="003F4EF6" w:rsidRPr="003F4EF6" w:rsidRDefault="003F4EF6" w:rsidP="008D0BB7">
            <w:pPr>
              <w:rPr>
                <w:rFonts w:cstheme="minorHAnsi"/>
                <w:highlight w:val="yellow"/>
              </w:rPr>
            </w:pPr>
            <w:r w:rsidRPr="003F4EF6">
              <w:rPr>
                <w:rFonts w:cstheme="minorHAnsi"/>
                <w:color w:val="000000"/>
                <w:highlight w:val="yellow"/>
              </w:rPr>
              <w:t>1.01 (1.00, 1.02),</w:t>
            </w:r>
            <w:r w:rsidRPr="003F4EF6">
              <w:rPr>
                <w:rFonts w:cstheme="minorHAnsi"/>
                <w:highlight w:val="yellow"/>
              </w:rPr>
              <w:t xml:space="preserve"> p=0.07</w:t>
            </w:r>
          </w:p>
        </w:tc>
      </w:tr>
      <w:tr w:rsidR="003F4EF6" w14:paraId="3FC9808D" w14:textId="77777777" w:rsidTr="008D0BB7">
        <w:tc>
          <w:tcPr>
            <w:tcW w:w="4675" w:type="dxa"/>
          </w:tcPr>
          <w:p w14:paraId="5826D5F9" w14:textId="77777777" w:rsidR="003F4EF6" w:rsidRPr="003F4EF6" w:rsidRDefault="003F4EF6" w:rsidP="008D0BB7">
            <w:pPr>
              <w:rPr>
                <w:highlight w:val="yellow"/>
              </w:rPr>
            </w:pPr>
            <w:r w:rsidRPr="003F4EF6">
              <w:rPr>
                <w:highlight w:val="yellow"/>
              </w:rPr>
              <w:t>Age spline</w:t>
            </w:r>
          </w:p>
        </w:tc>
        <w:tc>
          <w:tcPr>
            <w:tcW w:w="4675" w:type="dxa"/>
          </w:tcPr>
          <w:p w14:paraId="64EBA944" w14:textId="77777777" w:rsidR="003F4EF6" w:rsidRPr="003F4EF6" w:rsidRDefault="003F4EF6" w:rsidP="008D0BB7">
            <w:pPr>
              <w:rPr>
                <w:highlight w:val="yellow"/>
              </w:rPr>
            </w:pPr>
          </w:p>
        </w:tc>
      </w:tr>
      <w:tr w:rsidR="003F4EF6" w14:paraId="547D1F58" w14:textId="77777777" w:rsidTr="008D0BB7">
        <w:trPr>
          <w:trHeight w:val="188"/>
        </w:trPr>
        <w:tc>
          <w:tcPr>
            <w:tcW w:w="4675" w:type="dxa"/>
          </w:tcPr>
          <w:p w14:paraId="30557BD0" w14:textId="77777777" w:rsidR="003F4EF6" w:rsidRPr="003F4EF6" w:rsidRDefault="003F4EF6" w:rsidP="008D0BB7">
            <w:pPr>
              <w:ind w:left="251"/>
              <w:rPr>
                <w:highlight w:val="yellow"/>
              </w:rPr>
            </w:pPr>
            <w:r w:rsidRPr="003F4EF6">
              <w:rPr>
                <w:highlight w:val="yellow"/>
              </w:rPr>
              <w:t>Age effect &lt;30y</w:t>
            </w:r>
          </w:p>
        </w:tc>
        <w:tc>
          <w:tcPr>
            <w:tcW w:w="4675" w:type="dxa"/>
            <w:vAlign w:val="bottom"/>
          </w:tcPr>
          <w:p w14:paraId="5A7BA531" w14:textId="77777777" w:rsidR="003F4EF6" w:rsidRPr="003F4EF6" w:rsidRDefault="003F4EF6" w:rsidP="008D0BB7">
            <w:pPr>
              <w:rPr>
                <w:highlight w:val="yellow"/>
              </w:rPr>
            </w:pPr>
            <w:r w:rsidRPr="003F4EF6">
              <w:rPr>
                <w:rFonts w:ascii="Calibri" w:hAnsi="Calibri" w:cs="Calibri"/>
                <w:color w:val="000000"/>
                <w:highlight w:val="yellow"/>
              </w:rPr>
              <w:t>0.98 (0.91, 1.06), p=0.68</w:t>
            </w:r>
          </w:p>
        </w:tc>
      </w:tr>
      <w:tr w:rsidR="003F4EF6" w14:paraId="6BBD3FE1" w14:textId="77777777" w:rsidTr="008D0BB7">
        <w:tc>
          <w:tcPr>
            <w:tcW w:w="4675" w:type="dxa"/>
          </w:tcPr>
          <w:p w14:paraId="5F2844F0" w14:textId="77777777" w:rsidR="003F4EF6" w:rsidRPr="003F4EF6" w:rsidRDefault="003F4EF6" w:rsidP="008D0BB7">
            <w:pPr>
              <w:ind w:left="251"/>
              <w:rPr>
                <w:highlight w:val="yellow"/>
              </w:rPr>
            </w:pPr>
            <w:r w:rsidRPr="003F4EF6">
              <w:rPr>
                <w:highlight w:val="yellow"/>
              </w:rPr>
              <w:t xml:space="preserve">Age effect </w:t>
            </w:r>
            <w:r w:rsidRPr="003F4EF6">
              <w:rPr>
                <w:rFonts w:cstheme="minorHAnsi"/>
                <w:highlight w:val="yellow"/>
              </w:rPr>
              <w:t>≥</w:t>
            </w:r>
            <w:r w:rsidRPr="003F4EF6">
              <w:rPr>
                <w:highlight w:val="yellow"/>
              </w:rPr>
              <w:t>30y</w:t>
            </w:r>
          </w:p>
        </w:tc>
        <w:tc>
          <w:tcPr>
            <w:tcW w:w="4675" w:type="dxa"/>
            <w:vAlign w:val="bottom"/>
          </w:tcPr>
          <w:p w14:paraId="26E9A074" w14:textId="77777777" w:rsidR="003F4EF6" w:rsidRPr="003F4EF6" w:rsidRDefault="003F4EF6" w:rsidP="008D0BB7">
            <w:pPr>
              <w:rPr>
                <w:highlight w:val="yellow"/>
              </w:rPr>
            </w:pPr>
            <w:r w:rsidRPr="003F4EF6">
              <w:rPr>
                <w:rFonts w:ascii="Calibri" w:hAnsi="Calibri" w:cs="Calibri"/>
                <w:color w:val="000000"/>
                <w:highlight w:val="yellow"/>
              </w:rPr>
              <w:t>1.05 (1.02, 1.07), p&lt;0.01</w:t>
            </w:r>
          </w:p>
        </w:tc>
      </w:tr>
    </w:tbl>
    <w:p w14:paraId="5ADA9F4A" w14:textId="60FF7F0C" w:rsidR="003F4EF6" w:rsidRDefault="003F4EF6" w:rsidP="00693728">
      <w:pPr>
        <w:pStyle w:val="NoSpacing"/>
        <w:numPr>
          <w:ilvl w:val="0"/>
          <w:numId w:val="1"/>
        </w:numPr>
      </w:pPr>
      <w:r>
        <w:t xml:space="preserve">Maximum tumor diameter for development cohort and </w:t>
      </w:r>
      <w:proofErr w:type="gramStart"/>
      <w:r>
        <w:t>relationship  with</w:t>
      </w:r>
      <w:proofErr w:type="gramEnd"/>
      <w:r>
        <w:t xml:space="preserve"> 5y PFS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EF6" w14:paraId="5495E60E" w14:textId="77777777" w:rsidTr="008D0BB7">
        <w:tc>
          <w:tcPr>
            <w:tcW w:w="4675" w:type="dxa"/>
            <w:shd w:val="clear" w:color="auto" w:fill="D9D9D9" w:themeFill="background1" w:themeFillShade="D9"/>
          </w:tcPr>
          <w:p w14:paraId="26A7B85B" w14:textId="77777777" w:rsidR="003F4EF6" w:rsidRDefault="003F4EF6" w:rsidP="008D0BB7"/>
        </w:tc>
        <w:tc>
          <w:tcPr>
            <w:tcW w:w="4675" w:type="dxa"/>
            <w:shd w:val="clear" w:color="auto" w:fill="D9D9D9" w:themeFill="background1" w:themeFillShade="D9"/>
          </w:tcPr>
          <w:p w14:paraId="0B584684" w14:textId="77777777" w:rsidR="003F4EF6" w:rsidRDefault="003F4EF6" w:rsidP="008D0BB7">
            <w:r>
              <w:t>Summary Statistics</w:t>
            </w:r>
          </w:p>
        </w:tc>
      </w:tr>
      <w:tr w:rsidR="003F4EF6" w14:paraId="14B8A1A1" w14:textId="77777777" w:rsidTr="008D0BB7">
        <w:tc>
          <w:tcPr>
            <w:tcW w:w="4675" w:type="dxa"/>
          </w:tcPr>
          <w:p w14:paraId="15A79875" w14:textId="77777777" w:rsidR="003F4EF6" w:rsidRDefault="003F4EF6" w:rsidP="008D0BB7">
            <w:r>
              <w:t>MTD (cm), mean (SD)</w:t>
            </w:r>
          </w:p>
        </w:tc>
        <w:tc>
          <w:tcPr>
            <w:tcW w:w="4675" w:type="dxa"/>
          </w:tcPr>
          <w:p w14:paraId="59906D29" w14:textId="77777777" w:rsidR="003F4EF6" w:rsidRPr="00EE31DB" w:rsidRDefault="003F4EF6" w:rsidP="008D0BB7">
            <w:pPr>
              <w:rPr>
                <w:rFonts w:cstheme="minorHAnsi"/>
              </w:rPr>
            </w:pPr>
            <w:r w:rsidRPr="00EE31DB">
              <w:rPr>
                <w:rFonts w:cstheme="minorHAnsi"/>
                <w:color w:val="000000"/>
              </w:rPr>
              <w:t>5.5 (3.5)</w:t>
            </w:r>
          </w:p>
        </w:tc>
      </w:tr>
      <w:tr w:rsidR="003F4EF6" w14:paraId="07A06D0A" w14:textId="77777777" w:rsidTr="008D0BB7">
        <w:tc>
          <w:tcPr>
            <w:tcW w:w="4675" w:type="dxa"/>
          </w:tcPr>
          <w:p w14:paraId="0A1D47E7" w14:textId="77777777" w:rsidR="003F4EF6" w:rsidRDefault="003F4EF6" w:rsidP="008D0BB7">
            <w:r>
              <w:t>MTD (cm), median (Q1, Q3)</w:t>
            </w:r>
          </w:p>
        </w:tc>
        <w:tc>
          <w:tcPr>
            <w:tcW w:w="4675" w:type="dxa"/>
          </w:tcPr>
          <w:p w14:paraId="205C150E" w14:textId="77777777" w:rsidR="003F4EF6" w:rsidRPr="00EE31DB" w:rsidRDefault="003F4EF6" w:rsidP="008D0BB7">
            <w:pPr>
              <w:pStyle w:val="HTMLPreformatted"/>
              <w:shd w:val="clear" w:color="auto" w:fill="FFFFFF"/>
              <w:wordWrap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DB">
              <w:rPr>
                <w:rStyle w:val="gnd-iwgdh3b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4.8 (3.0, 7.4)</w:t>
            </w:r>
          </w:p>
        </w:tc>
      </w:tr>
      <w:tr w:rsidR="003F4EF6" w14:paraId="4881ADFE" w14:textId="77777777" w:rsidTr="008D0BB7">
        <w:tc>
          <w:tcPr>
            <w:tcW w:w="4675" w:type="dxa"/>
          </w:tcPr>
          <w:p w14:paraId="3083DFE4" w14:textId="77777777" w:rsidR="003F4EF6" w:rsidRDefault="003F4EF6" w:rsidP="008D0BB7">
            <w:r>
              <w:t>MTD (cm), min, max</w:t>
            </w:r>
          </w:p>
        </w:tc>
        <w:tc>
          <w:tcPr>
            <w:tcW w:w="4675" w:type="dxa"/>
          </w:tcPr>
          <w:p w14:paraId="4E30FDB3" w14:textId="77777777" w:rsidR="003F4EF6" w:rsidRPr="00EE31DB" w:rsidRDefault="003F4EF6" w:rsidP="008D0BB7">
            <w:pPr>
              <w:rPr>
                <w:rFonts w:cstheme="minorHAnsi"/>
              </w:rPr>
            </w:pPr>
            <w:r w:rsidRPr="00EE31DB">
              <w:rPr>
                <w:rFonts w:cstheme="minorHAnsi"/>
              </w:rPr>
              <w:t>0, 23</w:t>
            </w:r>
          </w:p>
        </w:tc>
      </w:tr>
      <w:tr w:rsidR="003F4EF6" w14:paraId="11C17A3B" w14:textId="77777777" w:rsidTr="008D0BB7">
        <w:tc>
          <w:tcPr>
            <w:tcW w:w="4675" w:type="dxa"/>
          </w:tcPr>
          <w:p w14:paraId="31FCCDAE" w14:textId="77777777" w:rsidR="003F4EF6" w:rsidRDefault="003F4EF6" w:rsidP="008D0BB7">
            <w:r>
              <w:t>MTD binary, n (%)</w:t>
            </w:r>
          </w:p>
        </w:tc>
        <w:tc>
          <w:tcPr>
            <w:tcW w:w="4675" w:type="dxa"/>
          </w:tcPr>
          <w:p w14:paraId="4A6B4EF9" w14:textId="77777777" w:rsidR="003F4EF6" w:rsidRPr="00EE31DB" w:rsidRDefault="003F4EF6" w:rsidP="008D0BB7">
            <w:pPr>
              <w:rPr>
                <w:rFonts w:cstheme="minorHAnsi"/>
              </w:rPr>
            </w:pPr>
          </w:p>
        </w:tc>
      </w:tr>
      <w:tr w:rsidR="003F4EF6" w14:paraId="1EAEBCAA" w14:textId="77777777" w:rsidTr="008D0BB7">
        <w:tc>
          <w:tcPr>
            <w:tcW w:w="4675" w:type="dxa"/>
          </w:tcPr>
          <w:p w14:paraId="467ADFC2" w14:textId="77777777" w:rsidR="003F4EF6" w:rsidRDefault="003F4EF6" w:rsidP="008D0BB7">
            <w:pPr>
              <w:ind w:left="251"/>
            </w:pPr>
            <w:r>
              <w:rPr>
                <w:rFonts w:cstheme="minorHAnsi"/>
              </w:rPr>
              <w:t>≤</w:t>
            </w:r>
            <w:r>
              <w:t xml:space="preserve">15 </w:t>
            </w:r>
          </w:p>
        </w:tc>
        <w:tc>
          <w:tcPr>
            <w:tcW w:w="4675" w:type="dxa"/>
          </w:tcPr>
          <w:p w14:paraId="72E6E366" w14:textId="77777777" w:rsidR="003F4EF6" w:rsidRPr="00EE31DB" w:rsidRDefault="003F4EF6" w:rsidP="008D0BB7">
            <w:pPr>
              <w:pStyle w:val="HTMLPreformatted"/>
              <w:shd w:val="clear" w:color="auto" w:fill="FFFFFF"/>
              <w:wordWrap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DB">
              <w:rPr>
                <w:rStyle w:val="gnd-iwgdh3b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3104 (98.9)</w:t>
            </w:r>
          </w:p>
        </w:tc>
      </w:tr>
      <w:tr w:rsidR="003F4EF6" w14:paraId="5427ED0C" w14:textId="77777777" w:rsidTr="008D0BB7">
        <w:tc>
          <w:tcPr>
            <w:tcW w:w="4675" w:type="dxa"/>
          </w:tcPr>
          <w:p w14:paraId="30887BEF" w14:textId="77777777" w:rsidR="003F4EF6" w:rsidRPr="003F4EF6" w:rsidRDefault="003F4EF6" w:rsidP="008D0BB7">
            <w:pPr>
              <w:ind w:left="251"/>
              <w:rPr>
                <w:highlight w:val="yellow"/>
              </w:rPr>
            </w:pPr>
            <w:r w:rsidRPr="003F4EF6">
              <w:rPr>
                <w:highlight w:val="yellow"/>
              </w:rPr>
              <w:t>&gt;15</w:t>
            </w:r>
          </w:p>
        </w:tc>
        <w:tc>
          <w:tcPr>
            <w:tcW w:w="4675" w:type="dxa"/>
          </w:tcPr>
          <w:p w14:paraId="7F073FCF" w14:textId="77777777" w:rsidR="003F4EF6" w:rsidRPr="003F4EF6" w:rsidRDefault="003F4EF6" w:rsidP="008D0BB7">
            <w:pPr>
              <w:rPr>
                <w:rFonts w:cstheme="minorHAnsi"/>
                <w:highlight w:val="yellow"/>
              </w:rPr>
            </w:pPr>
            <w:r w:rsidRPr="003F4EF6">
              <w:rPr>
                <w:rFonts w:cstheme="minorHAnsi"/>
                <w:highlight w:val="yellow"/>
              </w:rPr>
              <w:t>34 (1.1)</w:t>
            </w:r>
          </w:p>
        </w:tc>
      </w:tr>
    </w:tbl>
    <w:p w14:paraId="44B9CAD9" w14:textId="77777777" w:rsidR="003F4EF6" w:rsidRDefault="003F4EF6" w:rsidP="003F4EF6">
      <w:pPr>
        <w:pStyle w:val="NoSpacing"/>
        <w:ind w:left="720"/>
      </w:pPr>
    </w:p>
    <w:sectPr w:rsidR="003F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8D3"/>
    <w:multiLevelType w:val="hybridMultilevel"/>
    <w:tmpl w:val="61E8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E0"/>
    <w:rsid w:val="001D5F22"/>
    <w:rsid w:val="00225E82"/>
    <w:rsid w:val="002F3BF2"/>
    <w:rsid w:val="00385D54"/>
    <w:rsid w:val="003F11FC"/>
    <w:rsid w:val="003F4EF6"/>
    <w:rsid w:val="005C3D7A"/>
    <w:rsid w:val="00693728"/>
    <w:rsid w:val="00793EE0"/>
    <w:rsid w:val="008450CA"/>
    <w:rsid w:val="00C051A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E0BD"/>
  <w15:chartTrackingRefBased/>
  <w15:docId w15:val="{C9D18814-2438-45C4-A847-8A9B3CD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EE0"/>
    <w:pPr>
      <w:spacing w:after="0" w:line="240" w:lineRule="auto"/>
    </w:pPr>
  </w:style>
  <w:style w:type="table" w:styleId="TableGrid">
    <w:name w:val="Table Grid"/>
    <w:basedOn w:val="TableNormal"/>
    <w:uiPriority w:val="39"/>
    <w:rsid w:val="003F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4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EF6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3F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TuftsMedicine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Sillah, Alissah B</dc:creator>
  <cp:keywords/>
  <dc:description/>
  <cp:lastModifiedBy>Sillah, Alissah B</cp:lastModifiedBy>
  <cp:revision>7</cp:revision>
  <dcterms:created xsi:type="dcterms:W3CDTF">2023-05-25T12:05:00Z</dcterms:created>
  <dcterms:modified xsi:type="dcterms:W3CDTF">2023-05-25T13:07:00Z</dcterms:modified>
</cp:coreProperties>
</file>